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igTitlePage"/>
        <w:rPr/>
      </w:pPr>
      <w:r>
        <w:rPr/>
        <w:t>Daniel Hugh Wachsstock, MD, PhD</w:t>
      </w:r>
    </w:p>
    <w:p>
      <w:pPr>
        <w:pStyle w:val="Twocolumn"/>
        <w:rPr/>
      </w:pPr>
      <w:r>
        <w:rPr/>
        <w:t>St. Luke’s Pediatric Care Center</w:t>
        <w:tab/>
        <w:t>8418 Old Bonhomme Rd.</w:t>
      </w:r>
    </w:p>
    <w:p>
      <w:pPr>
        <w:pStyle w:val="Twocolumn"/>
        <w:rPr/>
      </w:pPr>
      <w:r>
        <w:rPr/>
        <w:t>8007 St. Charles Rock Road</w:t>
        <w:tab/>
        <w:t>St. Louis, MO 63132</w:t>
      </w:r>
    </w:p>
    <w:p>
      <w:pPr>
        <w:pStyle w:val="Twocolumn"/>
        <w:rPr/>
      </w:pPr>
      <w:r>
        <w:rPr/>
        <w:t>St. Louis, MO 63114</w:t>
        <w:tab/>
        <w:t>314-</w:t>
      </w:r>
      <w:r>
        <w:rPr/>
        <w:t>791-0546</w:t>
      </w:r>
    </w:p>
    <w:p>
      <w:pPr>
        <w:pStyle w:val="Twocolumn"/>
        <w:rPr/>
      </w:pPr>
      <w:r>
        <w:rPr/>
        <w:t>314-423-8195</w:t>
        <w:tab/>
        <w:t>d.wachss@prodigy.net</w:t>
      </w:r>
    </w:p>
    <w:p>
      <w:pPr>
        <w:pStyle w:val="Twocolumn"/>
        <w:rPr/>
      </w:pPr>
      <w:r>
        <w:rPr/>
        <w:t>http://bililite.com</w:t>
      </w:r>
    </w:p>
    <w:p>
      <w:pPr>
        <w:pStyle w:val="Cvheadings"/>
        <w:rPr/>
      </w:pPr>
      <w:r>
        <w:rPr/>
        <w:t>EMPLOYMENT</w:t>
      </w:r>
    </w:p>
    <w:p>
      <w:pPr>
        <w:pStyle w:val="Cv"/>
        <w:jc w:val="left"/>
        <w:rPr/>
      </w:pPr>
      <w:r>
        <w:rPr/>
        <w:t>2010-Present</w:t>
        <w:tab/>
        <w:t>Office-based pediatrician, St. Luke's Pediatric Care Center, Pagedale, Missouri. Partner in a two-physician hospital-owned practice,  serving a largely underserved population. I have continued to serve as a hospitalist once or twice a week.</w:t>
      </w:r>
    </w:p>
    <w:p>
      <w:pPr>
        <w:pStyle w:val="Cv"/>
        <w:rPr/>
      </w:pPr>
      <w:r>
        <w:rPr/>
        <w:t>2004-2011</w:t>
        <w:tab/>
        <w:t>Sexual abuse evaluator, St. Charles Child Advocacy Center</w:t>
      </w:r>
    </w:p>
    <w:p>
      <w:pPr>
        <w:pStyle w:val="Cv"/>
        <w:rPr/>
      </w:pPr>
      <w:r>
        <w:rPr/>
        <w:t>1997-2010</w:t>
        <w:tab/>
        <w:t xml:space="preserve">Hospitalist Pediatrician, St. Luke's Hospital. Responsible for pediatric cases in the Emergency Room, a 12-bed inpatient unit and covering a 2000-delivery-per-year labor and delivery unit and a level 2+ NICU. </w:t>
      </w:r>
    </w:p>
    <w:p>
      <w:pPr>
        <w:pStyle w:val="Cv"/>
        <w:rPr/>
      </w:pPr>
      <w:r>
        <w:rPr/>
        <w:t>2000-2010</w:t>
        <w:tab/>
        <w:t>Locum Tenens provider for area pediatricians</w:t>
      </w:r>
    </w:p>
    <w:p>
      <w:pPr>
        <w:pStyle w:val="Cv"/>
        <w:rPr/>
      </w:pPr>
      <w:r>
        <w:rPr/>
        <w:t>1994-1997</w:t>
        <w:tab/>
        <w:t>Intern and resident in Pediatrics, St. Louis Children’s Hospital</w:t>
      </w:r>
    </w:p>
    <w:p>
      <w:pPr>
        <w:pStyle w:val="Cv"/>
        <w:rPr/>
      </w:pPr>
      <w:r>
        <w:rPr/>
        <w:t>1986-1993</w:t>
        <w:tab/>
        <w:t>Teaching Assistant,, Johns Hopkins School of Medicine</w:t>
      </w:r>
    </w:p>
    <w:p>
      <w:pPr>
        <w:pStyle w:val="Cv"/>
        <w:rPr/>
      </w:pPr>
      <w:r>
        <w:rPr/>
        <w:t>1985</w:t>
        <w:tab/>
        <w:t>Technician, Pharmakinetics, Inc., Baltimore</w:t>
      </w:r>
    </w:p>
    <w:p>
      <w:pPr>
        <w:pStyle w:val="Cvheadings"/>
        <w:rPr/>
      </w:pPr>
      <w:r>
        <w:rPr/>
        <w:t>CERTIFICATION</w:t>
        <w:tab/>
      </w:r>
    </w:p>
    <w:p>
      <w:pPr>
        <w:pStyle w:val="Cv"/>
        <w:rPr/>
      </w:pPr>
      <w:r>
        <w:rPr/>
        <w:t>2019</w:t>
        <w:tab/>
        <w:t>Pediatric Advanced Life Support Instructor</w:t>
      </w:r>
    </w:p>
    <w:p>
      <w:pPr>
        <w:pStyle w:val="Cv"/>
        <w:rPr/>
      </w:pPr>
      <w:r>
        <w:rPr/>
        <w:t>2019</w:t>
        <w:tab/>
        <w:t>Neonatal Resuscitation Program</w:t>
      </w:r>
    </w:p>
    <w:p>
      <w:pPr>
        <w:pStyle w:val="Cv"/>
        <w:rPr/>
      </w:pPr>
      <w:r>
        <w:rPr/>
        <w:t>2009</w:t>
        <w:tab/>
        <w:t>SAFE-CARE (Missouri sexual abuse forensic examination certification)</w:t>
      </w:r>
    </w:p>
    <w:p>
      <w:pPr>
        <w:pStyle w:val="Cv"/>
        <w:rPr/>
      </w:pPr>
      <w:r>
        <w:rPr/>
        <w:t>2006</w:t>
        <w:tab/>
        <w:t>Initial Board Certification in Pediatrics</w:t>
      </w:r>
    </w:p>
    <w:p>
      <w:pPr>
        <w:pStyle w:val="Cv"/>
        <w:rPr/>
      </w:pPr>
      <w:r>
        <w:rPr/>
        <w:t>1996</w:t>
        <w:tab/>
        <w:t>USMLE, part III and licensed physician, state of Missouri</w:t>
      </w:r>
    </w:p>
    <w:p>
      <w:pPr>
        <w:pStyle w:val="Cvheadings"/>
        <w:rPr/>
      </w:pPr>
      <w:r>
        <w:rPr/>
        <w:t>EDUCATION</w:t>
      </w:r>
    </w:p>
    <w:p>
      <w:pPr>
        <w:pStyle w:val="Cv"/>
        <w:rPr/>
      </w:pPr>
      <w:r>
        <w:rPr/>
        <w:t>1987-1994</w:t>
        <w:tab/>
        <w:t>Johns Hopkins School of Medicine, MD/PhD, Department of Cell Biology and Anatomy.</w:t>
      </w:r>
    </w:p>
    <w:p>
      <w:pPr>
        <w:pStyle w:val="Cv"/>
        <w:rPr/>
      </w:pPr>
      <w:r>
        <w:rPr/>
        <w:t>1985-1987</w:t>
        <w:tab/>
        <w:t>Johns Hopkins University, graduate student, Department of Biophysics</w:t>
      </w:r>
    </w:p>
    <w:p>
      <w:pPr>
        <w:pStyle w:val="Cv"/>
        <w:rPr/>
      </w:pPr>
      <w:r>
        <w:rPr/>
        <w:t>Summer 1985</w:t>
        <w:tab/>
        <w:t>Weizmann Institute, Karen Kupcinet International Science School</w:t>
      </w:r>
    </w:p>
    <w:p>
      <w:pPr>
        <w:pStyle w:val="Cv"/>
        <w:rPr/>
      </w:pPr>
      <w:r>
        <w:rPr/>
        <w:t>1983-1985</w:t>
        <w:tab/>
        <w:t>University of Miami, Bachelor of Science summa cum laude, Chemistry</w:t>
      </w:r>
    </w:p>
    <w:p>
      <w:pPr>
        <w:pStyle w:val="Cvheadings"/>
        <w:rPr/>
      </w:pPr>
      <w:r>
        <w:rPr/>
        <w:t>HONORS, AWARDS &amp; MEMBERSHIPS</w:t>
      </w:r>
    </w:p>
    <w:p>
      <w:pPr>
        <w:pStyle w:val="Cv"/>
        <w:rPr/>
      </w:pPr>
      <w:r>
        <w:rPr/>
        <w:t>2015-Present</w:t>
        <w:tab/>
        <w:t xml:space="preserve">St. Louis Magazine, </w:t>
      </w:r>
      <w:r>
        <w:rPr>
          <w:i/>
          <w:iCs/>
        </w:rPr>
        <w:t>Best Doctors in St. Louis</w:t>
      </w:r>
    </w:p>
    <w:p>
      <w:pPr>
        <w:pStyle w:val="Cv"/>
        <w:rPr/>
      </w:pPr>
      <w:r>
        <w:rPr/>
        <w:t>1994-Present</w:t>
        <w:tab/>
        <w:t>Member, American Academy of Pediatrics</w:t>
      </w:r>
    </w:p>
    <w:p>
      <w:pPr>
        <w:pStyle w:val="Cv"/>
        <w:rPr/>
      </w:pPr>
      <w:r>
        <w:rPr/>
        <w:t>1997-2005</w:t>
        <w:tab/>
        <w:t>Member, American Medical Association</w:t>
      </w:r>
    </w:p>
    <w:p>
      <w:pPr>
        <w:pStyle w:val="Cv"/>
        <w:rPr/>
      </w:pPr>
      <w:r>
        <w:rPr/>
        <w:t>1997-2001</w:t>
        <w:tab/>
        <w:t>Chairman, Health and Safety Committee of the Board of Directors of the Torah Prep School, University City, MO</w:t>
      </w:r>
    </w:p>
    <w:p>
      <w:pPr>
        <w:pStyle w:val="Cv"/>
        <w:rPr/>
      </w:pPr>
      <w:r>
        <w:rPr/>
        <w:t>1994</w:t>
        <w:tab/>
        <w:t>William L. Straus award for anatomical research</w:t>
      </w:r>
    </w:p>
    <w:p>
      <w:pPr>
        <w:pStyle w:val="Cv"/>
        <w:rPr/>
      </w:pPr>
      <w:r>
        <w:rPr/>
        <w:t>1993</w:t>
        <w:tab/>
        <w:t>Young Investigator’s Day Certificate of Merit</w:t>
      </w:r>
    </w:p>
    <w:p>
      <w:pPr>
        <w:pStyle w:val="Cv"/>
        <w:rPr/>
      </w:pPr>
      <w:r>
        <w:rPr/>
        <w:t>1993-2001</w:t>
        <w:tab/>
        <w:t>Member, Biophysical Society</w:t>
      </w:r>
    </w:p>
    <w:p>
      <w:pPr>
        <w:pStyle w:val="Cv"/>
        <w:rPr/>
      </w:pPr>
      <w:r>
        <w:rPr/>
        <w:t>1987-1994</w:t>
        <w:tab/>
        <w:t>Medical Scientist Training Program awardee</w:t>
      </w:r>
    </w:p>
    <w:p>
      <w:pPr>
        <w:pStyle w:val="Cv"/>
        <w:rPr/>
      </w:pPr>
      <w:r>
        <w:rPr/>
        <w:t>1986-1990</w:t>
        <w:tab/>
        <w:t>National Science Foundation Graduate Fellowship</w:t>
      </w:r>
    </w:p>
    <w:p>
      <w:pPr>
        <w:pStyle w:val="Cv"/>
        <w:rPr/>
      </w:pPr>
      <w:r>
        <w:rPr/>
        <w:t>1988</w:t>
        <w:tab/>
        <w:t>Franklin Paine Mall prize in Anatomy and Cell Biology</w:t>
      </w:r>
    </w:p>
    <w:p>
      <w:pPr>
        <w:pStyle w:val="Cv"/>
        <w:rPr/>
      </w:pPr>
      <w:r>
        <w:rPr/>
        <w:t>1985</w:t>
        <w:tab/>
        <w:t>Graduated summa cum laude and with general honors</w:t>
      </w:r>
    </w:p>
    <w:p>
      <w:pPr>
        <w:pStyle w:val="Cv"/>
        <w:rPr/>
      </w:pPr>
      <w:r>
        <w:rPr/>
        <w:t>1985-Present</w:t>
        <w:tab/>
        <w:t>Member, Phi Beta Kappa</w:t>
      </w:r>
    </w:p>
    <w:p>
      <w:pPr>
        <w:pStyle w:val="Cv"/>
        <w:rPr/>
      </w:pPr>
      <w:r>
        <w:rPr/>
        <w:t>1983-1985</w:t>
        <w:tab/>
        <w:t>Presidential Scholar, University of Miami</w:t>
      </w:r>
    </w:p>
    <w:p>
      <w:pPr>
        <w:pStyle w:val="Cv"/>
        <w:rPr/>
      </w:pPr>
      <w:r>
        <w:rPr/>
        <w:t>1983-1985</w:t>
        <w:tab/>
        <w:t>Privileged Studies Program, University of Miami</w:t>
      </w:r>
      <w:r>
        <w:br w:type="page"/>
      </w:r>
    </w:p>
    <w:p>
      <w:pPr>
        <w:pStyle w:val="Cvheadings"/>
        <w:ind w:left="0" w:right="0" w:hanging="0"/>
        <w:rPr/>
      </w:pPr>
      <w:r>
        <w:rPr/>
        <w:t>PUBLICATIONS</w:t>
      </w:r>
    </w:p>
    <w:p>
      <w:pPr>
        <w:pStyle w:val="Bibliography"/>
        <w:rPr/>
      </w:pPr>
      <w:r>
        <w:rPr/>
        <w:t xml:space="preserve">Goldschmidt-Clermont, P.J., Furman, M.I., Wachsstock, D.H., Safer, D., Nachmias, V.T. and Pollard, T.D. (1992) The control of actin nucleotide exchange by thymosin </w:t>
      </w:r>
      <w:r>
        <w:rPr>
          <w:rFonts w:cs="Symbol" w:ascii="Symbol" w:hAnsi="Symbol"/>
        </w:rPr>
        <w:t></w:t>
      </w:r>
      <w:r>
        <w:rPr>
          <w:position w:val="-3"/>
          <w:sz w:val="18"/>
        </w:rPr>
        <w:t>4</w:t>
      </w:r>
      <w:r>
        <w:rPr/>
        <w:t xml:space="preserve"> and profilin: A potential regulatory mechanism for actin polymerization in cells. </w:t>
      </w:r>
      <w:r>
        <w:rPr>
          <w:i/>
        </w:rPr>
        <w:t>Mol Cell Biol</w:t>
      </w:r>
      <w:r>
        <w:rPr/>
        <w:t xml:space="preserve"> </w:t>
      </w:r>
      <w:r>
        <w:rPr>
          <w:b/>
        </w:rPr>
        <w:t>3</w:t>
      </w:r>
      <w:r>
        <w:rPr/>
        <w:t>: 1015-1024.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Maciver, S.K., Wachsstock, D.H., Schwarz, W.H. and Pollard, T.D. (1991) The actin filament severing protein actophorin promotes the formation of rigid bundles of actin filaments crosslinked with </w:t>
      </w:r>
      <w:r>
        <w:rPr>
          <w:rFonts w:cs="Symbol" w:ascii="Symbol" w:hAnsi="Symbol"/>
        </w:rPr>
        <w:t></w:t>
      </w:r>
      <w:r>
        <w:rPr/>
        <w:t xml:space="preserve">–actinin. </w:t>
      </w:r>
      <w:r>
        <w:rPr>
          <w:i/>
        </w:rPr>
        <w:t>J Cell Biol</w:t>
      </w:r>
      <w:r>
        <w:rPr/>
        <w:t xml:space="preserve"> </w:t>
      </w:r>
      <w:r>
        <w:rPr>
          <w:b/>
        </w:rPr>
        <w:t>115</w:t>
      </w:r>
      <w:r>
        <w:rPr/>
        <w:t>: 1621-1628.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Pollard, T.D., Bhandari, D., Maupin, P., Wachsstock, D.H., Weeds, A.G. and Zot, H. (1993) Direct visualization by electron microscopy of the weakly-bound intermediates in the actomyosin ATPase cycle. </w:t>
      </w:r>
      <w:r>
        <w:rPr>
          <w:i/>
        </w:rPr>
        <w:t>Biophys J</w:t>
      </w:r>
      <w:r>
        <w:rPr/>
        <w:t xml:space="preserve"> </w:t>
      </w:r>
      <w:r>
        <w:rPr>
          <w:b/>
        </w:rPr>
        <w:t>64</w:t>
      </w:r>
      <w:r>
        <w:rPr/>
        <w:t>: 454-471.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Pollard, T.D., Magnus, K.A., Doberstein, S.K., Goldschmidt-Clermont, P.J., Kaiser, D.A., Machesky, L.M., Maciver, S.K., Rimm, D.L. and Wachsstock, D.H. (1989) Structure-function studies of the actin filament system of </w:t>
      </w:r>
      <w:r>
        <w:rPr>
          <w:i/>
        </w:rPr>
        <w:t>Acanthamoeba</w:t>
      </w:r>
      <w:r>
        <w:rPr/>
        <w:t>. Cytoskeletal and Extracellular Proteins. Aebi, U. and Engel, J., Ed. London, Springer-Verlag. 271-279.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Wachsstock, D.H. and Pollard, T.D. (1994) Transient state kinetics tutorial using the kinetics simulation program, KINSIM. </w:t>
      </w:r>
      <w:r>
        <w:rPr>
          <w:i/>
        </w:rPr>
        <w:t>Biophys J</w:t>
      </w:r>
      <w:r>
        <w:rPr/>
        <w:t xml:space="preserve"> </w:t>
      </w:r>
      <w:r>
        <w:rPr>
          <w:b/>
        </w:rPr>
        <w:t>67</w:t>
      </w:r>
      <w:r>
        <w:rPr/>
        <w:t>: 1260-73.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Wachsstock, D.H., Schwarz, W.H. and Pollard, T.D. (1993) Affinity of </w:t>
      </w:r>
      <w:r>
        <w:rPr>
          <w:rFonts w:cs="Symbol" w:ascii="Symbol" w:hAnsi="Symbol"/>
        </w:rPr>
        <w:t></w:t>
      </w:r>
      <w:r>
        <w:rPr/>
        <w:t xml:space="preserve">–actinin for actin determines the structure and mechanical properties of actin filament gels. </w:t>
      </w:r>
      <w:r>
        <w:rPr>
          <w:i/>
        </w:rPr>
        <w:t>Biophys J</w:t>
      </w:r>
      <w:r>
        <w:rPr/>
        <w:t xml:space="preserve"> </w:t>
      </w:r>
      <w:r>
        <w:rPr>
          <w:b/>
        </w:rPr>
        <w:t>65</w:t>
      </w:r>
      <w:r>
        <w:rPr/>
        <w:t>: 205-214.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Wachsstock, D.H., Schwarz, W.H. and Pollard, T.D. (1994) Crosslinker dynamics determine the mechanical properties of actin gels. </w:t>
      </w:r>
      <w:r>
        <w:rPr>
          <w:i/>
        </w:rPr>
        <w:t>Biophys J</w:t>
      </w:r>
      <w:r>
        <w:rPr/>
        <w:t xml:space="preserve"> </w:t>
      </w:r>
      <w:r>
        <w:rPr>
          <w:b/>
        </w:rPr>
        <w:t>66</w:t>
      </w:r>
      <w:r>
        <w:rPr/>
        <w:t>: 801-9.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Wachsstock, D.H., Wilkins, J.A. and Lin, S. (1987) Specific interaction of vinculin and </w:t>
      </w:r>
      <w:r>
        <w:rPr>
          <w:rFonts w:cs="Symbol" w:ascii="Symbol" w:hAnsi="Symbol"/>
        </w:rPr>
        <w:t></w:t>
      </w:r>
      <w:r>
        <w:rPr/>
        <w:t xml:space="preserve">–actinin. </w:t>
      </w:r>
      <w:r>
        <w:rPr>
          <w:i/>
        </w:rPr>
        <w:t>Biochem Biophys Res Comm</w:t>
      </w:r>
      <w:r>
        <w:rPr/>
        <w:t xml:space="preserve"> </w:t>
      </w:r>
      <w:r>
        <w:rPr>
          <w:b/>
        </w:rPr>
        <w:t>146</w:t>
      </w:r>
      <w:r>
        <w:rPr/>
        <w:t>: 554-560.</w:t>
      </w:r>
    </w:p>
    <w:p>
      <w:pPr>
        <w:pStyle w:val="Bibliography"/>
        <w:rPr/>
      </w:pPr>
      <w:r>
        <w:rPr/>
      </w:r>
    </w:p>
    <w:p>
      <w:pPr>
        <w:pStyle w:val="Halfline"/>
        <w:rPr/>
      </w:pPr>
      <w:r>
        <w:rPr/>
      </w:r>
    </w:p>
    <w:p>
      <w:pPr>
        <w:pStyle w:val="Cvheadings"/>
        <w:rPr/>
      </w:pPr>
      <w:r>
        <w:rPr/>
        <w:t>POSTERS &amp; ORAL PRESENTATIONS</w:t>
      </w:r>
    </w:p>
    <w:p>
      <w:pPr>
        <w:pStyle w:val="Bibliography"/>
        <w:rPr/>
      </w:pPr>
      <w:r>
        <w:rPr/>
        <w:t xml:space="preserve">Herbert, T.J. and Wachsstock, D.H. (1985) Optimization of sunlight exposure in photosynthesis. </w:t>
      </w:r>
      <w:r>
        <w:rPr>
          <w:i/>
        </w:rPr>
        <w:t>American J Botany</w:t>
      </w:r>
      <w:r>
        <w:rPr>
          <w:b/>
        </w:rPr>
        <w:t xml:space="preserve"> 72</w:t>
      </w:r>
      <w:r>
        <w:rPr/>
        <w:t>: 854.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Loftus, D.J., Sato, M., Wachsstock, D.H., Cooper, J.A., Pollard, T.D. and Elson, E.L. (1987) </w:t>
      </w:r>
      <w:r>
        <w:rPr>
          <w:i/>
        </w:rPr>
        <w:t>Acanthamoeba</w:t>
      </w:r>
      <w:r>
        <w:rPr/>
        <w:t xml:space="preserve"> </w:t>
      </w:r>
      <w:r>
        <w:rPr>
          <w:rFonts w:cs="Symbol" w:ascii="Symbol" w:hAnsi="Symbol"/>
        </w:rPr>
        <w:t></w:t>
      </w:r>
      <w:r>
        <w:rPr/>
        <w:t xml:space="preserve">–actinin interaction with actin measured by fluorescence photobleaching recovery. </w:t>
      </w:r>
      <w:r>
        <w:rPr>
          <w:i/>
        </w:rPr>
        <w:t>J Cell Biol</w:t>
      </w:r>
      <w:r>
        <w:rPr/>
        <w:t xml:space="preserve"> </w:t>
      </w:r>
      <w:r>
        <w:rPr>
          <w:b/>
        </w:rPr>
        <w:t>105</w:t>
      </w:r>
      <w:r>
        <w:rPr/>
        <w:t>: 114a.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Maciver, S.K., Wachsstock, D.H., Schwarz, W.H. and Pollard, T.D. (1987) Actin filament severing activity of actophorin and consequences for the dynamic viscosity of actin gels. </w:t>
      </w:r>
      <w:r>
        <w:rPr>
          <w:i/>
        </w:rPr>
        <w:t>J Cell Biol</w:t>
      </w:r>
      <w:r>
        <w:rPr/>
        <w:t xml:space="preserve"> </w:t>
      </w:r>
      <w:r>
        <w:rPr>
          <w:b/>
        </w:rPr>
        <w:t>105</w:t>
      </w:r>
      <w:r>
        <w:rPr/>
        <w:t>: 114a.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Wachsstock, D.H., Schwarz, W.H. and Pollard, T.D. (1993) Affinity of </w:t>
      </w:r>
      <w:r>
        <w:rPr>
          <w:rFonts w:cs="Symbol" w:ascii="Symbol" w:hAnsi="Symbol"/>
        </w:rPr>
        <w:t></w:t>
      </w:r>
      <w:r>
        <w:rPr/>
        <w:t xml:space="preserve">–actinin for actin determines the structure and mechanical properties of actin filament gels. </w:t>
      </w:r>
      <w:r>
        <w:rPr>
          <w:i/>
        </w:rPr>
        <w:t>Biophys J</w:t>
      </w:r>
      <w:r>
        <w:rPr/>
        <w:t xml:space="preserve"> </w:t>
      </w:r>
      <w:r>
        <w:rPr>
          <w:b/>
        </w:rPr>
        <w:t>64</w:t>
      </w:r>
      <w:r>
        <w:rPr/>
        <w:t>: 148a.</w:t>
      </w:r>
    </w:p>
    <w:p>
      <w:pPr>
        <w:pStyle w:val="Halfline"/>
        <w:rPr/>
      </w:pPr>
      <w:r>
        <w:rPr/>
      </w:r>
    </w:p>
    <w:p>
      <w:pPr>
        <w:pStyle w:val="Bibliography"/>
        <w:rPr/>
      </w:pPr>
      <w:r>
        <w:rPr/>
        <w:t xml:space="preserve">Wachsstock, D.H., Wilkins, J.A. and Lin, S. (1987) Specific interaction of vinculin with </w:t>
      </w:r>
      <w:r>
        <w:rPr>
          <w:rFonts w:cs="Symbol" w:ascii="Symbol" w:hAnsi="Symbol"/>
        </w:rPr>
        <w:t></w:t>
      </w:r>
      <w:r>
        <w:rPr/>
        <w:t xml:space="preserve">–actinin measured with fluorescence energy transfer. </w:t>
      </w:r>
      <w:r>
        <w:rPr>
          <w:i/>
        </w:rPr>
        <w:t>Biophys J</w:t>
      </w:r>
      <w:r>
        <w:rPr/>
        <w:t xml:space="preserve"> </w:t>
      </w:r>
      <w:r>
        <w:rPr>
          <w:b/>
        </w:rPr>
        <w:t>51</w:t>
      </w:r>
      <w:r>
        <w:rPr/>
        <w:t>: 213a.</w:t>
      </w:r>
    </w:p>
    <w:sectPr>
      <w:headerReference w:type="default" r:id="rId2"/>
      <w:type w:val="nextPage"/>
      <w:pgSz w:w="12240" w:h="15840"/>
      <w:pgMar w:left="1440" w:right="1440" w:header="0" w:top="1080" w:footer="0" w:bottom="108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Sty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168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tabs>
        <w:tab w:val="left" w:pos="720" w:leader="none"/>
        <w:tab w:val="left" w:pos="1440" w:leader="none"/>
        <w:tab w:val="left" w:pos="7200" w:leader="none"/>
      </w:tabs>
      <w:suppressAutoHyphens w:val="true"/>
      <w:bidi w:val="0"/>
      <w:spacing w:lineRule="atLeast" w:line="320"/>
      <w:jc w:val="both"/>
    </w:pPr>
    <w:rPr>
      <w:rFonts w:ascii="Palatino;Book Antiqua" w:hAnsi="Palatino;Book Antiqua" w:eastAsia="Times New Roman" w:cs="Palatino;Book Antiqua"/>
      <w:color w:val="00000A"/>
      <w:sz w:val="24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Style">
    <w:name w:val="Header Style"/>
    <w:basedOn w:val="Normal"/>
    <w:qFormat/>
    <w:pPr>
      <w:jc w:val="center"/>
    </w:pPr>
    <w:rPr/>
  </w:style>
  <w:style w:type="paragraph" w:styleId="FooterStyle">
    <w:name w:val="Footer Style"/>
    <w:basedOn w:val="Normal"/>
    <w:qFormat/>
    <w:pPr>
      <w:jc w:val="center"/>
    </w:pPr>
    <w:rPr/>
  </w:style>
  <w:style w:type="paragraph" w:styleId="FootnoteStyle">
    <w:name w:val="Footnote Style"/>
    <w:basedOn w:val="Normal"/>
    <w:qFormat/>
    <w:pPr/>
    <w:rPr>
      <w:sz w:val="20"/>
    </w:rPr>
  </w:style>
  <w:style w:type="paragraph" w:styleId="Subheads">
    <w:name w:val="subheads"/>
    <w:basedOn w:val="Normal"/>
    <w:qFormat/>
    <w:pPr>
      <w:spacing w:lineRule="exact" w:line="800"/>
      <w:ind w:left="0" w:right="0" w:firstLine="720"/>
    </w:pPr>
    <w:rPr>
      <w:b/>
      <w:sz w:val="28"/>
    </w:rPr>
  </w:style>
  <w:style w:type="paragraph" w:styleId="Chapterheads">
    <w:name w:val="chapter heads"/>
    <w:basedOn w:val="Subheads"/>
    <w:qFormat/>
    <w:pPr>
      <w:spacing w:lineRule="exact" w:line="1440"/>
      <w:jc w:val="center"/>
    </w:pPr>
    <w:rPr>
      <w:sz w:val="36"/>
    </w:rPr>
  </w:style>
  <w:style w:type="paragraph" w:styleId="Titlepage">
    <w:name w:val="Title page"/>
    <w:basedOn w:val="Normal"/>
    <w:qFormat/>
    <w:pPr>
      <w:spacing w:lineRule="atLeast" w:line="360"/>
      <w:jc w:val="center"/>
    </w:pPr>
    <w:rPr>
      <w:sz w:val="28"/>
    </w:rPr>
  </w:style>
  <w:style w:type="paragraph" w:styleId="BigTitlePage">
    <w:name w:val="Big Title Page"/>
    <w:basedOn w:val="Titlepage"/>
    <w:qFormat/>
    <w:pPr>
      <w:spacing w:lineRule="auto" w:line="240" w:before="0" w:after="360"/>
    </w:pPr>
    <w:rPr>
      <w:b/>
      <w:sz w:val="36"/>
    </w:rPr>
  </w:style>
  <w:style w:type="paragraph" w:styleId="Cv">
    <w:name w:val="cv"/>
    <w:basedOn w:val="Normal"/>
    <w:qFormat/>
    <w:pPr>
      <w:tabs>
        <w:tab w:val="left" w:pos="2160" w:leader="none"/>
      </w:tabs>
      <w:spacing w:lineRule="atLeast" w:line="280"/>
      <w:ind w:left="2880" w:right="0" w:hanging="2880"/>
      <w:jc w:val="left"/>
    </w:pPr>
    <w:rPr>
      <w:sz w:val="20"/>
    </w:rPr>
  </w:style>
  <w:style w:type="paragraph" w:styleId="Cvheadings">
    <w:name w:val="cv headings"/>
    <w:basedOn w:val="Cv"/>
    <w:qFormat/>
    <w:pPr>
      <w:spacing w:before="120" w:after="0"/>
    </w:pPr>
    <w:rPr>
      <w:b/>
    </w:rPr>
  </w:style>
  <w:style w:type="paragraph" w:styleId="Bibliography">
    <w:name w:val="bibliography"/>
    <w:basedOn w:val="Normal"/>
    <w:qFormat/>
    <w:pPr>
      <w:spacing w:lineRule="exact" w:line="280"/>
      <w:ind w:left="720" w:right="0" w:hanging="720"/>
    </w:pPr>
    <w:rPr>
      <w:sz w:val="20"/>
    </w:rPr>
  </w:style>
  <w:style w:type="paragraph" w:styleId="Twocolumn">
    <w:name w:val="two column"/>
    <w:basedOn w:val="Cv"/>
    <w:qFormat/>
    <w:pPr>
      <w:tabs>
        <w:tab w:val="right" w:pos="9360" w:leader="none"/>
      </w:tabs>
      <w:ind w:left="0" w:right="0" w:hanging="0"/>
    </w:pPr>
    <w:rPr/>
  </w:style>
  <w:style w:type="paragraph" w:styleId="Halfline">
    <w:name w:val="half line"/>
    <w:basedOn w:val="Bibliography"/>
    <w:qFormat/>
    <w:pPr>
      <w:spacing w:lineRule="exact" w:line="140"/>
    </w:pPr>
    <w:rPr/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LibreOffice/5.3.6.1$Windows_x86 LibreOffice_project/686f202eff87ef707079aeb7f485847613344eb7</Application>
  <Pages>2</Pages>
  <Words>697</Words>
  <Characters>4375</Characters>
  <CharactersWithSpaces>5013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2012-02-15T11:19:00Z</dcterms:created>
  <dc:creator>Daniel Wachsstock</dc:creator>
  <dc:description/>
  <dc:language>en-US</dc:language>
  <cp:lastModifiedBy/>
  <cp:lastPrinted>2004-02-22T21:57:00Z</cp:lastPrinted>
  <dcterms:modified xsi:type="dcterms:W3CDTF">2020-05-19T12:55:39Z</dcterms:modified>
  <cp:revision>8</cp:revision>
  <dc:subject/>
  <dc:title>Daniel Hugh Wachsstock, MD, PhD</dc:title>
</cp:coreProperties>
</file>